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rPr>
          <w:rFonts w:hint="eastAsia" w:ascii="方正小标宋简体" w:eastAsia="方正小标宋简体"/>
          <w:sz w:val="44"/>
          <w:szCs w:val="44"/>
        </w:rPr>
      </w:pPr>
      <w:r/>
      <w:bookmarkStart w:id="0" w:name="_Toc3306"/>
      <w:r/>
      <w:bookmarkStart w:id="1" w:name="_Toc8256"/>
      <w:r>
        <w:rPr>
          <w:rFonts w:hint="eastAsia" w:ascii="方正小标宋简体" w:eastAsia="方正小标宋简体"/>
          <w:sz w:val="44"/>
          <w:szCs w:val="44"/>
        </w:rPr>
        <w:t xml:space="preserve">经营所得个人所得税WEB端指引</w:t>
      </w:r>
      <w:r>
        <w:rPr>
          <w:rFonts w:hint="eastAsia" w:ascii="方正小标宋简体" w:eastAsia="方正小标宋简体"/>
          <w:sz w:val="44"/>
          <w:szCs w:val="44"/>
        </w:rPr>
      </w:r>
      <w:r>
        <w:rPr>
          <w:rFonts w:hint="eastAsia" w:ascii="方正小标宋简体" w:eastAsia="方正小标宋简体"/>
          <w:sz w:val="44"/>
          <w:szCs w:val="44"/>
        </w:rPr>
      </w:r>
    </w:p>
    <w:p>
      <w:pPr>
        <w:ind w:firstLine="480"/>
        <w:rPr>
          <w:rFonts w:hint="eastAsia" w:ascii="楷体" w:hAnsi="楷体" w:eastAsia="楷体"/>
          <w:color w:val="ff0000"/>
        </w:rPr>
      </w:pPr>
      <w:r>
        <w:rPr>
          <w:rFonts w:hint="eastAsia" w:ascii="楷体" w:hAnsi="楷体" w:eastAsia="楷体"/>
          <w:color w:val="ff0000"/>
        </w:rPr>
        <w:t xml:space="preserve">温馨提示：纳税人如果选择通过自然人税收管理系统web端申报缴税,需签订税库银三方协议。您可以登录山西省电子税务局进行网络签订（</w:t>
      </w:r>
      <w:r>
        <w:rPr>
          <w:rFonts w:hint="eastAsia" w:ascii="楷体" w:hAnsi="楷体" w:eastAsia="楷体"/>
          <w:b/>
          <w:color w:val="ff0000"/>
        </w:rPr>
        <w:t xml:space="preserve">网签税库银三方协议操作手册</w:t>
      </w:r>
      <w:r>
        <w:rPr>
          <w:rFonts w:hint="eastAsia" w:ascii="楷体" w:hAnsi="楷体" w:eastAsia="楷体"/>
          <w:color w:val="ff0000"/>
        </w:rPr>
        <w:t xml:space="preserve">）,也可以通过银联在线支付直接付款或者登录付款完成缴税。</w:t>
      </w:r>
      <w:r>
        <w:rPr>
          <w:rFonts w:hint="eastAsia" w:ascii="楷体" w:hAnsi="楷体" w:eastAsia="楷体"/>
          <w:color w:val="ff0000"/>
        </w:rPr>
      </w:r>
      <w:r>
        <w:rPr>
          <w:rFonts w:hint="eastAsia" w:ascii="楷体" w:hAnsi="楷体" w:eastAsia="楷体"/>
          <w:color w:val="ff0000"/>
        </w:rPr>
      </w:r>
    </w:p>
    <w:p>
      <w:pPr>
        <w:pStyle w:val="873"/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经营所得个人所得税月（季）度申报</w:t>
      </w:r>
      <w:bookmarkEnd w:id="0"/>
      <w:r>
        <w:rPr>
          <w:rFonts w:hint="eastAsia"/>
        </w:rPr>
        <w:t xml:space="preserve">（A表）</w:t>
      </w:r>
      <w:r>
        <w:rPr>
          <w:rFonts w:hint="eastAsia"/>
        </w:rPr>
      </w:r>
      <w:r>
        <w:rPr>
          <w:rFonts w:hint="eastAsia"/>
        </w:rPr>
      </w:r>
    </w:p>
    <w:p>
      <w:pPr>
        <w:ind w:firstLine="480"/>
        <w:jc w:val="left"/>
        <w:widowControl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本表</w:t>
      </w:r>
      <w:r>
        <w:rPr>
          <w:rFonts w:hint="eastAsia" w:ascii="宋体" w:hAnsi="宋体" w:cs="宋体"/>
        </w:rPr>
        <w:t xml:space="preserve">适用于</w:t>
      </w:r>
      <w:r>
        <w:rPr>
          <w:rFonts w:hint="eastAsia" w:ascii="宋体" w:hAnsi="宋体" w:cs="宋体"/>
          <w:color w:val="000000"/>
        </w:rPr>
        <w:t xml:space="preserve">查账征收经营</w:t>
      </w:r>
      <w:r>
        <w:rPr>
          <w:rFonts w:ascii="宋体" w:hAnsi="宋体" w:cs="宋体"/>
          <w:color w:val="000000"/>
        </w:rPr>
        <w:t xml:space="preserve">所得</w:t>
      </w:r>
      <w:r>
        <w:rPr>
          <w:rFonts w:hint="eastAsia" w:ascii="宋体" w:hAnsi="宋体" w:cs="宋体"/>
          <w:color w:val="000000"/>
        </w:rPr>
        <w:t xml:space="preserve">个人所得税的</w:t>
      </w:r>
      <w:r>
        <w:rPr>
          <w:rFonts w:hint="eastAsia" w:ascii="宋体" w:hAnsi="宋体" w:cs="宋体"/>
        </w:rPr>
        <w:t xml:space="preserve">个体工商户业主、企事业单位承包承租经营者、个人独资企业投资者和合伙企业自然人合伙人</w:t>
      </w:r>
      <w:r>
        <w:rPr>
          <w:rFonts w:hint="eastAsia" w:ascii="宋体" w:hAnsi="宋体" w:cs="宋体"/>
          <w:color w:val="000000"/>
        </w:rPr>
        <w:t xml:space="preserve">、</w:t>
      </w:r>
      <w:r>
        <w:rPr>
          <w:rFonts w:ascii="宋体" w:hAnsi="宋体" w:cs="宋体"/>
          <w:color w:val="000000"/>
        </w:rPr>
        <w:t xml:space="preserve">从事其他生产、经营活动</w:t>
      </w:r>
      <w:r>
        <w:rPr>
          <w:rFonts w:hint="eastAsia" w:ascii="宋体" w:hAnsi="宋体" w:cs="宋体"/>
          <w:color w:val="000000"/>
        </w:rPr>
        <w:t xml:space="preserve">取</w:t>
      </w:r>
      <w:r>
        <w:rPr>
          <w:rFonts w:ascii="宋体" w:hAnsi="宋体" w:cs="宋体"/>
          <w:color w:val="000000"/>
        </w:rPr>
        <w:t xml:space="preserve">得的所得的个</w:t>
      </w:r>
      <w:r>
        <w:rPr>
          <w:rFonts w:hint="eastAsia" w:ascii="宋体" w:hAnsi="宋体" w:cs="宋体"/>
          <w:color w:val="000000"/>
        </w:rPr>
        <w:t xml:space="preserve">人的预缴纳税申报，以及实行核定征收的纳税申报。</w:t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sectPr>
      <w:footerReference w:type="default" r:id="rId9"/>
      <w:footnotePr/>
      <w:endnotePr/>
      <w:type w:val="nextPage"/>
      <w:pgSz w:w="11906" w:h="16838" w:orient="portrait"/>
      <w:pgMar w:top="1440" w:right="1800" w:bottom="1440" w:left="1800" w:header="851" w:footer="992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20603020101020101"/>
  </w:font>
  <w:font w:name="Symbol">
    <w:panose1 w:val="05010000000000000000"/>
  </w:font>
  <w:font w:name="Wingdings">
    <w:panose1 w:val="05010000000000000000"/>
  </w:font>
  <w:font w:name="方正小标宋简体">
    <w:panose1 w:val="020B0603030804020204"/>
  </w:font>
  <w:font w:name="Courier New">
    <w:panose1 w:val="02070309020205020404"/>
  </w:font>
  <w:font w:name="微软雅黑">
    <w:panose1 w:val="020B0603020202020204"/>
  </w:font>
  <w:font w:name="Calibri">
    <w:panose1 w:val="020F0502020204030204"/>
  </w:font>
  <w:font w:name="Arial">
    <w:panose1 w:val="020B0604020202020204"/>
  </w:font>
  <w:font w:name="宋体">
    <w:panose1 w:val="0202060302010102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sz w:val="24"/>
      </w:rPr>
      <w:pBdr>
        <w:top w:val="none" w:color="000000" w:sz="0" w:space="1"/>
      </w:pBdr>
    </w:pPr>
    <w:r>
      <w:rPr>
        <w:sz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9585" cy="29083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89585" cy="290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7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 xml:space="preserve"> 页</w:t>
                          </w:r>
                          <w:r>
                            <w:rPr>
                              <w:rFonts w:hint="eastAsia"/>
                            </w:rPr>
                          </w:r>
                          <w:r>
                            <w:rPr>
                              <w:rFonts w:hint="eastAsia"/>
                            </w:rPr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0pt;mso-position-vertical:absolute;width:38.55pt;height:22.90pt;mso-wrap-distance-left:9.00pt;mso-wrap-distance-top:0.00pt;mso-wrap-distance-right:9.00pt;mso-wrap-distance-bottom:0.00pt;visibility:visible;" filled="f" stroked="f" strokeweight="0.75pt">
              <v:textbox inset="0,0,0,0">
                <w:txbxContent>
                  <w:p>
                    <w:pPr>
                      <w:pStyle w:val="87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</w:rPr>
                      <w:t xml:space="preserve">第 </w: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 xml:space="preserve">1</w:t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  <w:szCs w:val="22"/>
                      </w:rPr>
                      <w:t xml:space="preserve"> 页</w:t>
                    </w:r>
                    <w:r>
                      <w:rPr>
                        <w:rFonts w:hint="eastAsia"/>
                      </w:rPr>
                    </w:r>
                    <w:r>
                      <w:rPr>
                        <w:rFonts w:hint="eastAsia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</w:r>
    <w:r>
      <w:rPr>
        <w:sz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%1．"/>
      <w:lvlJc w:val="left"/>
      <w:pPr>
        <w:ind w:left="0" w:firstLine="40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873"/>
      <w:isLgl w:val="false"/>
      <w:suff w:val="tab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>
      <w:start w:val="1"/>
      <w:numFmt w:val="decimal"/>
      <w:isLgl w:val="false"/>
      <w:suff w:val="space"/>
      <w:lvlText w:val="%1.%2.%3.%4"/>
      <w:lvlJc w:val="left"/>
      <w:pPr>
        <w:ind w:left="0" w:firstLine="0"/>
        <w:tabs>
          <w:tab w:val="left" w:pos="0" w:leader="none"/>
        </w:tabs>
      </w:pPr>
      <w:rPr>
        <w:rFonts w:hint="default" w:ascii="宋体" w:hAnsi="宋体" w:eastAsia="宋体" w:cs="宋体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2"/>
    <w:next w:val="872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4"/>
    <w:link w:val="696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2"/>
    <w:next w:val="872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basedOn w:val="874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2"/>
    <w:next w:val="872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4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2"/>
    <w:next w:val="872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4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4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4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4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4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2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2"/>
    <w:next w:val="872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4"/>
    <w:link w:val="715"/>
    <w:uiPriority w:val="10"/>
    <w:rPr>
      <w:sz w:val="48"/>
      <w:szCs w:val="48"/>
    </w:rPr>
  </w:style>
  <w:style w:type="paragraph" w:styleId="717">
    <w:name w:val="Subtitle"/>
    <w:basedOn w:val="872"/>
    <w:next w:val="872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4"/>
    <w:link w:val="717"/>
    <w:uiPriority w:val="11"/>
    <w:rPr>
      <w:sz w:val="24"/>
      <w:szCs w:val="24"/>
    </w:rPr>
  </w:style>
  <w:style w:type="paragraph" w:styleId="719">
    <w:name w:val="Quote"/>
    <w:basedOn w:val="872"/>
    <w:next w:val="872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2"/>
    <w:next w:val="872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2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4"/>
    <w:link w:val="723"/>
    <w:uiPriority w:val="99"/>
  </w:style>
  <w:style w:type="character" w:styleId="725">
    <w:name w:val="Footer Char"/>
    <w:basedOn w:val="874"/>
    <w:link w:val="876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876"/>
    <w:uiPriority w:val="99"/>
  </w:style>
  <w:style w:type="table" w:styleId="728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4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4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uiPriority w:val="0"/>
    <w:qFormat/>
    <w:pPr>
      <w:jc w:val="both"/>
      <w:spacing w:line="360" w:lineRule="auto"/>
      <w:widowControl w:val="off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873">
    <w:name w:val="Heading 2"/>
    <w:basedOn w:val="872"/>
    <w:next w:val="872"/>
    <w:uiPriority w:val="0"/>
    <w:unhideWhenUsed/>
    <w:qFormat/>
    <w:pPr>
      <w:numPr>
        <w:ilvl w:val="1"/>
        <w:numId w:val="1"/>
      </w:numPr>
      <w:ind w:left="0" w:firstLine="0"/>
      <w:keepLines/>
      <w:keepNext/>
      <w:spacing w:line="360" w:lineRule="auto"/>
      <w:tabs>
        <w:tab w:val="left" w:pos="576" w:leader="none"/>
      </w:tabs>
      <w:outlineLvl w:val="1"/>
    </w:pPr>
    <w:rPr>
      <w:rFonts w:ascii="Arial" w:hAnsi="Arial" w:eastAsia="微软雅黑"/>
      <w:b/>
      <w:bCs/>
      <w:sz w:val="28"/>
      <w:szCs w:val="32"/>
    </w:rPr>
  </w:style>
  <w:style w:type="character" w:styleId="874" w:default="1">
    <w:name w:val="Default Paragraph Font"/>
    <w:uiPriority w:val="0"/>
    <w:semiHidden/>
  </w:style>
  <w:style w:type="table" w:styleId="875" w:default="1">
    <w:name w:val="Normal Table"/>
    <w:uiPriority w:val="0"/>
    <w:semiHidden/>
    <w:tblPr>
      <w:tblLayout w:type="fixed"/>
      <w:tblCellMar>
        <w:left w:w="108" w:type="dxa"/>
        <w:top w:w="0" w:type="dxa"/>
        <w:right w:w="108" w:type="dxa"/>
        <w:bottom w:w="0" w:type="dxa"/>
      </w:tblCellMar>
    </w:tblPr>
  </w:style>
  <w:style w:type="paragraph" w:styleId="876">
    <w:name w:val="Footer"/>
    <w:basedOn w:val="872"/>
    <w:uiPriority w:val="0"/>
    <w:pPr>
      <w:jc w:val="center"/>
      <w:tabs>
        <w:tab w:val="center" w:pos="4153" w:leader="none"/>
        <w:tab w:val="right" w:pos="8306" w:leader="none"/>
      </w:tabs>
      <w:pBdr>
        <w:top w:val="single" w:color="000000" w:sz="4" w:space="1"/>
      </w:pBdr>
    </w:pPr>
    <w:rPr>
      <w:rFonts w:ascii="Times New Roman" w:hAnsi="Times New Roman"/>
      <w:sz w:val="18"/>
      <w:szCs w:val="18"/>
    </w:rPr>
  </w:style>
  <w:style w:type="numbering" w:styleId="87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经营所得个人所得税WEB端指引</dc:title>
  <dc:creator>樊世明</dc:creator>
  <cp:lastModifiedBy>mrdoc</cp:lastModifiedBy>
  <cp:revision>3</cp:revision>
  <dcterms:created xsi:type="dcterms:W3CDTF">2019-03-23T11:13:00Z</dcterms:created>
  <dcterms:modified xsi:type="dcterms:W3CDTF">2023-08-25T02:52:44Z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